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389" w:rsidRPr="00F33A22" w:rsidRDefault="004315AF" w:rsidP="00AD1838">
      <w:pPr>
        <w:pStyle w:val="NoSpacing"/>
        <w:rPr>
          <w:b/>
          <w:sz w:val="24"/>
        </w:rPr>
      </w:pPr>
      <w:r w:rsidRPr="00F33A22">
        <w:rPr>
          <w:b/>
          <w:sz w:val="24"/>
        </w:rPr>
        <w:t>Enteric Nonenterics (Enteric</w:t>
      </w:r>
      <w:bookmarkStart w:id="0" w:name="_GoBack"/>
      <w:bookmarkEnd w:id="0"/>
      <w:r w:rsidRPr="00F33A22">
        <w:rPr>
          <w:b/>
          <w:sz w:val="24"/>
        </w:rPr>
        <w:t xml:space="preserve"> family but NOT enteric location)</w:t>
      </w:r>
    </w:p>
    <w:p w:rsidR="00AD1838" w:rsidRDefault="00AD1838" w:rsidP="00AD1838">
      <w:pPr>
        <w:pStyle w:val="NoSpacing"/>
      </w:pPr>
    </w:p>
    <w:p w:rsidR="00AD1838" w:rsidRPr="00F33A22" w:rsidRDefault="00AD1838" w:rsidP="00AD1838">
      <w:pPr>
        <w:pStyle w:val="NoSpacing"/>
        <w:rPr>
          <w:sz w:val="24"/>
        </w:rPr>
      </w:pPr>
      <w:r w:rsidRPr="00F33A22">
        <w:rPr>
          <w:sz w:val="24"/>
        </w:rPr>
        <w:t>Bacteria → Gm- → Rod → Facultative → Escherichia, Shigella, Salmonella, Klebsiella, Proteus, Yersinia</w:t>
      </w:r>
    </w:p>
    <w:p w:rsidR="000E5349" w:rsidRDefault="000E5349" w:rsidP="000E5349">
      <w:pPr>
        <w:pStyle w:val="NoSpacing"/>
        <w:numPr>
          <w:ilvl w:val="0"/>
          <w:numId w:val="2"/>
        </w:numPr>
      </w:pPr>
      <w:r>
        <w:t>Motile via flagella | facultative aerobic – ferment glc w/ CO2 production</w:t>
      </w:r>
    </w:p>
    <w:p w:rsidR="000E5349" w:rsidRDefault="000E5349" w:rsidP="000E5349">
      <w:pPr>
        <w:pStyle w:val="NoSpacing"/>
        <w:numPr>
          <w:ilvl w:val="0"/>
          <w:numId w:val="2"/>
        </w:numPr>
      </w:pPr>
      <w:r>
        <w:t>Characterized by serology</w:t>
      </w:r>
    </w:p>
    <w:p w:rsidR="000E5349" w:rsidRDefault="000E5349" w:rsidP="000E5349">
      <w:pPr>
        <w:pStyle w:val="NoSpacing"/>
        <w:numPr>
          <w:ilvl w:val="1"/>
          <w:numId w:val="2"/>
        </w:numPr>
      </w:pPr>
      <w:r>
        <w:t>H – flagella | K – Capsule | O – polysaccharide comp. of LPS/LOS</w:t>
      </w:r>
    </w:p>
    <w:p w:rsidR="006B0F14" w:rsidRDefault="006B0F14" w:rsidP="006B0F14">
      <w:pPr>
        <w:pStyle w:val="NoSpacing"/>
        <w:numPr>
          <w:ilvl w:val="0"/>
          <w:numId w:val="2"/>
        </w:numPr>
      </w:pPr>
      <w:r>
        <w:t>Responsible for 1/3 of all bacteremia + 2/3 of all UTIs</w:t>
      </w:r>
    </w:p>
    <w:p w:rsidR="006B0F14" w:rsidRDefault="006B0F14" w:rsidP="006B0F14">
      <w:pPr>
        <w:pStyle w:val="NoSpacing"/>
        <w:ind w:left="720"/>
      </w:pPr>
    </w:p>
    <w:p w:rsidR="006B0F14" w:rsidRDefault="006B0F14" w:rsidP="006B0F14">
      <w:pPr>
        <w:pStyle w:val="NoSpacing"/>
        <w:numPr>
          <w:ilvl w:val="0"/>
          <w:numId w:val="2"/>
        </w:numPr>
      </w:pPr>
      <w:r>
        <w:t>Neonatal Bacterial Meningitis</w:t>
      </w:r>
    </w:p>
    <w:p w:rsidR="006B0F14" w:rsidRDefault="006B0F14" w:rsidP="006B0F14">
      <w:pPr>
        <w:pStyle w:val="NoSpacing"/>
        <w:numPr>
          <w:ilvl w:val="1"/>
          <w:numId w:val="2"/>
        </w:numPr>
      </w:pPr>
      <w:r>
        <w:t>Group B Streptococcus | E. coli | Listeria monocytogenes</w:t>
      </w:r>
    </w:p>
    <w:p w:rsidR="00F20DA6" w:rsidRDefault="00F20DA6" w:rsidP="006B0F14">
      <w:pPr>
        <w:pStyle w:val="NoSpacing"/>
        <w:numPr>
          <w:ilvl w:val="1"/>
          <w:numId w:val="2"/>
        </w:numPr>
      </w:pPr>
      <w:r>
        <w:t>Most common in 1</w:t>
      </w:r>
      <w:r w:rsidRPr="00F20DA6">
        <w:rPr>
          <w:vertAlign w:val="superscript"/>
        </w:rPr>
        <w:t>st</w:t>
      </w:r>
      <w:r>
        <w:t xml:space="preserve"> month in 15% of neonates w/ bacteremia</w:t>
      </w:r>
    </w:p>
    <w:p w:rsidR="004D365B" w:rsidRDefault="004D365B" w:rsidP="006B0F14">
      <w:pPr>
        <w:pStyle w:val="NoSpacing"/>
        <w:numPr>
          <w:ilvl w:val="1"/>
          <w:numId w:val="2"/>
        </w:numPr>
      </w:pPr>
      <w:r>
        <w:t>Diagnostic: Full, but not bulging, fontanelle</w:t>
      </w:r>
    </w:p>
    <w:p w:rsidR="004D365B" w:rsidRDefault="004D365B" w:rsidP="006B0F14">
      <w:pPr>
        <w:pStyle w:val="NoSpacing"/>
        <w:numPr>
          <w:ilvl w:val="1"/>
          <w:numId w:val="2"/>
        </w:numPr>
      </w:pPr>
      <w:r>
        <w:t>Early onset (1</w:t>
      </w:r>
      <w:r w:rsidRPr="004D365B">
        <w:rPr>
          <w:vertAlign w:val="superscript"/>
        </w:rPr>
        <w:t>st</w:t>
      </w:r>
      <w:r>
        <w:t xml:space="preserve"> 5-7 days) – probably due to vertical transmission</w:t>
      </w:r>
    </w:p>
    <w:p w:rsidR="009778D9" w:rsidRDefault="004D365B" w:rsidP="009778D9">
      <w:pPr>
        <w:pStyle w:val="NoSpacing"/>
        <w:numPr>
          <w:ilvl w:val="1"/>
          <w:numId w:val="2"/>
        </w:numPr>
      </w:pPr>
      <w:r>
        <w:t>Late onset (after 1</w:t>
      </w:r>
      <w:r w:rsidRPr="004D365B">
        <w:rPr>
          <w:vertAlign w:val="superscript"/>
        </w:rPr>
        <w:t>st</w:t>
      </w:r>
      <w:r>
        <w:t xml:space="preserve"> week) – nosocomial or community acquired infection</w:t>
      </w:r>
    </w:p>
    <w:p w:rsidR="004D365B" w:rsidRDefault="004D365B" w:rsidP="004D365B">
      <w:pPr>
        <w:pStyle w:val="NoSpacing"/>
      </w:pPr>
    </w:p>
    <w:p w:rsidR="004D365B" w:rsidRPr="00F33A22" w:rsidRDefault="004D365B" w:rsidP="004D365B">
      <w:pPr>
        <w:pStyle w:val="NoSpacing"/>
        <w:rPr>
          <w:b/>
        </w:rPr>
      </w:pPr>
      <w:r w:rsidRPr="00F33A22">
        <w:rPr>
          <w:b/>
        </w:rPr>
        <w:t>Escherichia coli K1</w:t>
      </w:r>
    </w:p>
    <w:p w:rsidR="004D365B" w:rsidRDefault="009778D9" w:rsidP="009778D9">
      <w:pPr>
        <w:pStyle w:val="NoSpacing"/>
        <w:numPr>
          <w:ilvl w:val="0"/>
          <w:numId w:val="3"/>
        </w:numPr>
      </w:pPr>
      <w:r>
        <w:t>Pathogenesis</w:t>
      </w:r>
    </w:p>
    <w:p w:rsidR="009778D9" w:rsidRDefault="009778D9" w:rsidP="009778D9">
      <w:pPr>
        <w:pStyle w:val="NoSpacing"/>
        <w:numPr>
          <w:ilvl w:val="0"/>
          <w:numId w:val="4"/>
        </w:numPr>
        <w:ind w:left="1440"/>
      </w:pPr>
      <w:r>
        <w:t>Mucosal Colonization</w:t>
      </w:r>
    </w:p>
    <w:p w:rsidR="009778D9" w:rsidRDefault="009778D9" w:rsidP="009778D9">
      <w:pPr>
        <w:pStyle w:val="NoSpacing"/>
        <w:numPr>
          <w:ilvl w:val="0"/>
          <w:numId w:val="4"/>
        </w:numPr>
        <w:ind w:left="1440"/>
      </w:pPr>
      <w:r>
        <w:t>Bloodstream invasion</w:t>
      </w:r>
    </w:p>
    <w:p w:rsidR="009778D9" w:rsidRDefault="009778D9" w:rsidP="009778D9">
      <w:pPr>
        <w:pStyle w:val="NoSpacing"/>
        <w:numPr>
          <w:ilvl w:val="0"/>
          <w:numId w:val="4"/>
        </w:numPr>
        <w:ind w:left="1440"/>
      </w:pPr>
      <w:r>
        <w:t>Multiplication → High-level bacteremia</w:t>
      </w:r>
    </w:p>
    <w:p w:rsidR="009778D9" w:rsidRDefault="009778D9" w:rsidP="009778D9">
      <w:pPr>
        <w:pStyle w:val="NoSpacing"/>
        <w:numPr>
          <w:ilvl w:val="0"/>
          <w:numId w:val="4"/>
        </w:numPr>
        <w:ind w:left="1440"/>
      </w:pPr>
      <w:r>
        <w:t>Crosses BBB (unique to E. coli K1)</w:t>
      </w:r>
    </w:p>
    <w:p w:rsidR="009778D9" w:rsidRDefault="009778D9" w:rsidP="009778D9">
      <w:pPr>
        <w:pStyle w:val="NoSpacing"/>
        <w:numPr>
          <w:ilvl w:val="1"/>
          <w:numId w:val="4"/>
        </w:numPr>
        <w:ind w:left="2160"/>
      </w:pPr>
      <w:r>
        <w:t>Binds through ligand-R interactions</w:t>
      </w:r>
    </w:p>
    <w:p w:rsidR="009778D9" w:rsidRDefault="009778D9" w:rsidP="009778D9">
      <w:pPr>
        <w:pStyle w:val="NoSpacing"/>
        <w:numPr>
          <w:ilvl w:val="1"/>
          <w:numId w:val="4"/>
        </w:numPr>
        <w:ind w:left="2160"/>
      </w:pPr>
      <w:r>
        <w:t>Host cytoskeletal rearrangements</w:t>
      </w:r>
    </w:p>
    <w:p w:rsidR="009778D9" w:rsidRDefault="009778D9" w:rsidP="009778D9">
      <w:pPr>
        <w:pStyle w:val="NoSpacing"/>
        <w:numPr>
          <w:ilvl w:val="0"/>
          <w:numId w:val="4"/>
        </w:numPr>
        <w:ind w:left="1440"/>
      </w:pPr>
      <w:r>
        <w:t>Invasion of CNS</w:t>
      </w:r>
    </w:p>
    <w:p w:rsidR="00CC4682" w:rsidRDefault="009778D9" w:rsidP="00CC4682">
      <w:pPr>
        <w:pStyle w:val="NoSpacing"/>
        <w:numPr>
          <w:ilvl w:val="0"/>
          <w:numId w:val="4"/>
        </w:numPr>
        <w:ind w:left="1440"/>
      </w:pPr>
      <w:r>
        <w:t>Neonatal injury</w:t>
      </w:r>
    </w:p>
    <w:p w:rsidR="00EF697B" w:rsidRDefault="00EF697B" w:rsidP="00CC4682">
      <w:pPr>
        <w:pStyle w:val="NoSpacing"/>
        <w:numPr>
          <w:ilvl w:val="0"/>
          <w:numId w:val="3"/>
        </w:numPr>
      </w:pPr>
      <w:r>
        <w:t>Virulence Factor: K1 capsule binds Factor H → blocks alternative complement pathway</w:t>
      </w:r>
    </w:p>
    <w:p w:rsidR="00CC4682" w:rsidRDefault="00CC4682" w:rsidP="00CC4682">
      <w:pPr>
        <w:pStyle w:val="NoSpacing"/>
        <w:numPr>
          <w:ilvl w:val="0"/>
          <w:numId w:val="3"/>
        </w:numPr>
      </w:pPr>
      <w:r>
        <w:t>D: ↑ CSF WBCs | ↑ CSF protein | ↓ CSF glucose</w:t>
      </w:r>
    </w:p>
    <w:p w:rsidR="00CC4682" w:rsidRDefault="00CC4682" w:rsidP="00CC4682">
      <w:pPr>
        <w:pStyle w:val="NoSpacing"/>
        <w:numPr>
          <w:ilvl w:val="0"/>
          <w:numId w:val="3"/>
        </w:numPr>
      </w:pPr>
      <w:r>
        <w:t>T: IV Broad-spectrum cephalosporins + aminoglycosides</w:t>
      </w:r>
    </w:p>
    <w:p w:rsidR="00131230" w:rsidRDefault="00131230" w:rsidP="00131230">
      <w:pPr>
        <w:pStyle w:val="NoSpacing"/>
      </w:pPr>
    </w:p>
    <w:p w:rsidR="00131230" w:rsidRPr="00F33A22" w:rsidRDefault="00131230" w:rsidP="00131230">
      <w:pPr>
        <w:pStyle w:val="NoSpacing"/>
        <w:rPr>
          <w:b/>
        </w:rPr>
      </w:pPr>
      <w:r w:rsidRPr="00F33A22">
        <w:rPr>
          <w:b/>
        </w:rPr>
        <w:t>Uropathogenic E. Coli (UPEC)</w:t>
      </w:r>
    </w:p>
    <w:p w:rsidR="00695024" w:rsidRDefault="00A47BB9" w:rsidP="00695024">
      <w:pPr>
        <w:pStyle w:val="NoSpacing"/>
        <w:numPr>
          <w:ilvl w:val="0"/>
          <w:numId w:val="5"/>
        </w:numPr>
      </w:pPr>
      <w:r>
        <w:t>Epi: Women more susceptible to UTIs due to</w:t>
      </w:r>
      <w:r w:rsidR="00695024">
        <w:t xml:space="preserve"> anatomical/geographical reasons</w:t>
      </w:r>
    </w:p>
    <w:p w:rsidR="00695024" w:rsidRDefault="00695024" w:rsidP="00695024">
      <w:pPr>
        <w:pStyle w:val="NoSpacing"/>
        <w:numPr>
          <w:ilvl w:val="0"/>
          <w:numId w:val="5"/>
        </w:numPr>
      </w:pPr>
      <w:r>
        <w:t>Clinical Symptoms</w:t>
      </w:r>
    </w:p>
    <w:p w:rsidR="00695024" w:rsidRDefault="00695024" w:rsidP="00695024">
      <w:pPr>
        <w:pStyle w:val="NoSpacing"/>
        <w:numPr>
          <w:ilvl w:val="1"/>
          <w:numId w:val="5"/>
        </w:numPr>
      </w:pPr>
      <w:r>
        <w:t>Cystitis (95%)</w:t>
      </w:r>
    </w:p>
    <w:p w:rsidR="00695024" w:rsidRDefault="00695024" w:rsidP="00695024">
      <w:pPr>
        <w:pStyle w:val="NoSpacing"/>
        <w:numPr>
          <w:ilvl w:val="2"/>
          <w:numId w:val="5"/>
        </w:numPr>
      </w:pPr>
      <w:r>
        <w:t>Uncomplicated bladder infection</w:t>
      </w:r>
    </w:p>
    <w:p w:rsidR="00695024" w:rsidRDefault="00695024" w:rsidP="00695024">
      <w:pPr>
        <w:pStyle w:val="NoSpacing"/>
        <w:numPr>
          <w:ilvl w:val="2"/>
          <w:numId w:val="5"/>
        </w:numPr>
      </w:pPr>
      <w:r>
        <w:t>Burning sensation | Frequent micturition | Incomplete voiding</w:t>
      </w:r>
    </w:p>
    <w:p w:rsidR="00695024" w:rsidRDefault="00695024" w:rsidP="00695024">
      <w:pPr>
        <w:pStyle w:val="NoSpacing"/>
        <w:numPr>
          <w:ilvl w:val="2"/>
          <w:numId w:val="5"/>
        </w:numPr>
      </w:pPr>
      <w:r>
        <w:t>Transmission: Fecal-Oral | Sexual</w:t>
      </w:r>
    </w:p>
    <w:p w:rsidR="00695024" w:rsidRDefault="00695024" w:rsidP="00695024">
      <w:pPr>
        <w:pStyle w:val="NoSpacing"/>
        <w:numPr>
          <w:ilvl w:val="1"/>
          <w:numId w:val="5"/>
        </w:numPr>
      </w:pPr>
      <w:r>
        <w:t>Pyelonephritis (5%)</w:t>
      </w:r>
    </w:p>
    <w:p w:rsidR="00695024" w:rsidRDefault="00695024" w:rsidP="00A06CAD">
      <w:pPr>
        <w:pStyle w:val="NoSpacing"/>
        <w:numPr>
          <w:ilvl w:val="2"/>
          <w:numId w:val="5"/>
        </w:numPr>
      </w:pPr>
      <w:r>
        <w:t>Kidney infection</w:t>
      </w:r>
      <w:r w:rsidR="00A06CAD">
        <w:t xml:space="preserve"> | </w:t>
      </w:r>
      <w:r>
        <w:t>Chills | high fever | N | Arthralgia/Myalgia</w:t>
      </w:r>
    </w:p>
    <w:p w:rsidR="00695024" w:rsidRDefault="00695024" w:rsidP="00695024">
      <w:pPr>
        <w:pStyle w:val="NoSpacing"/>
        <w:numPr>
          <w:ilvl w:val="2"/>
          <w:numId w:val="5"/>
        </w:numPr>
      </w:pPr>
      <w:r>
        <w:t>If untreated → renal failure | bacteremia | septic shoch</w:t>
      </w:r>
    </w:p>
    <w:p w:rsidR="00BB1CA9" w:rsidRDefault="00BB1CA9" w:rsidP="00BB1CA9">
      <w:pPr>
        <w:pStyle w:val="NoSpacing"/>
        <w:numPr>
          <w:ilvl w:val="0"/>
          <w:numId w:val="5"/>
        </w:numPr>
      </w:pPr>
      <w:r>
        <w:t>Pathophysiology</w:t>
      </w:r>
    </w:p>
    <w:p w:rsidR="00BB1CA9" w:rsidRDefault="008A6C88" w:rsidP="008A6C88">
      <w:pPr>
        <w:pStyle w:val="NoSpacing"/>
        <w:numPr>
          <w:ilvl w:val="0"/>
          <w:numId w:val="6"/>
        </w:numPr>
        <w:ind w:left="1440"/>
      </w:pPr>
      <w:r>
        <w:t>Several adhesions bind (pili) to avoid being voided</w:t>
      </w:r>
    </w:p>
    <w:p w:rsidR="008A6C88" w:rsidRDefault="008A6C88" w:rsidP="008A6C88">
      <w:pPr>
        <w:pStyle w:val="NoSpacing"/>
        <w:numPr>
          <w:ilvl w:val="0"/>
          <w:numId w:val="6"/>
        </w:numPr>
        <w:ind w:left="1440"/>
      </w:pPr>
      <w:r>
        <w:t>Invade the superficial facet cells in bladder</w:t>
      </w:r>
    </w:p>
    <w:p w:rsidR="008A6C88" w:rsidRDefault="008A6C88" w:rsidP="008A6C88">
      <w:pPr>
        <w:pStyle w:val="NoSpacing"/>
        <w:numPr>
          <w:ilvl w:val="1"/>
          <w:numId w:val="6"/>
        </w:numPr>
        <w:ind w:left="2160"/>
      </w:pPr>
      <w:r>
        <w:t>Cause apoptosis | Remain dormant | Launch future recurrent episodes</w:t>
      </w:r>
    </w:p>
    <w:p w:rsidR="008A6C88" w:rsidRDefault="008A6C88" w:rsidP="008A6C88">
      <w:pPr>
        <w:pStyle w:val="NoSpacing"/>
        <w:numPr>
          <w:ilvl w:val="0"/>
          <w:numId w:val="7"/>
        </w:numPr>
      </w:pPr>
      <w:r>
        <w:t xml:space="preserve">Virulence Factors: Siderophores | Toxins such as </w:t>
      </w:r>
      <w:r>
        <w:rPr>
          <w:rFonts w:cstheme="minorHAnsi"/>
        </w:rPr>
        <w:t>α</w:t>
      </w:r>
      <w:r>
        <w:t>-hemolysin (alters signaling cascades, triggers apoptosis)</w:t>
      </w:r>
    </w:p>
    <w:p w:rsidR="00B30BCE" w:rsidRDefault="00B30BCE" w:rsidP="00B30BCE">
      <w:pPr>
        <w:pStyle w:val="NoSpacing"/>
      </w:pPr>
    </w:p>
    <w:p w:rsidR="00B30BCE" w:rsidRPr="00F33A22" w:rsidRDefault="00B30BCE" w:rsidP="00B30BCE">
      <w:pPr>
        <w:pStyle w:val="NoSpacing"/>
        <w:rPr>
          <w:b/>
        </w:rPr>
      </w:pPr>
      <w:r w:rsidRPr="00F33A22">
        <w:rPr>
          <w:b/>
        </w:rPr>
        <w:t>Proteus mirabilis</w:t>
      </w:r>
    </w:p>
    <w:p w:rsidR="00B30BCE" w:rsidRDefault="00B30BCE" w:rsidP="00DF400D">
      <w:pPr>
        <w:pStyle w:val="NoSpacing"/>
        <w:numPr>
          <w:ilvl w:val="0"/>
          <w:numId w:val="7"/>
        </w:numPr>
      </w:pPr>
      <w:r>
        <w:t xml:space="preserve">Hyperflaggelated | Produce </w:t>
      </w:r>
      <w:r w:rsidR="00DF400D">
        <w:t>Urease →</w:t>
      </w:r>
      <w:r>
        <w:t xml:space="preserve"> formation of stones w/ calcium phosphate + uric acid + bacteria</w:t>
      </w:r>
    </w:p>
    <w:p w:rsidR="00C70B8E" w:rsidRDefault="00C70B8E" w:rsidP="00C70B8E">
      <w:pPr>
        <w:pStyle w:val="NoSpacing"/>
      </w:pPr>
    </w:p>
    <w:p w:rsidR="005C7CB4" w:rsidRDefault="005C7CB4" w:rsidP="00C70B8E">
      <w:pPr>
        <w:pStyle w:val="NoSpacing"/>
        <w:rPr>
          <w:b/>
        </w:rPr>
      </w:pPr>
    </w:p>
    <w:p w:rsidR="00C70B8E" w:rsidRPr="00F33A22" w:rsidRDefault="00C70B8E" w:rsidP="00C70B8E">
      <w:pPr>
        <w:pStyle w:val="NoSpacing"/>
        <w:rPr>
          <w:b/>
        </w:rPr>
      </w:pPr>
      <w:r w:rsidRPr="00F33A22">
        <w:rPr>
          <w:b/>
        </w:rPr>
        <w:lastRenderedPageBreak/>
        <w:t>UPEC + P. mirabilis</w:t>
      </w:r>
    </w:p>
    <w:p w:rsidR="00C70B8E" w:rsidRDefault="00C70B8E" w:rsidP="00C70B8E">
      <w:pPr>
        <w:pStyle w:val="NoSpacing"/>
        <w:numPr>
          <w:ilvl w:val="0"/>
          <w:numId w:val="7"/>
        </w:numPr>
      </w:pPr>
      <w:r>
        <w:t>D: urine dip stick (non-specific for UTI) | Immersion culture (requires 24hr)</w:t>
      </w:r>
    </w:p>
    <w:p w:rsidR="00C70B8E" w:rsidRDefault="00C70B8E" w:rsidP="00C70B8E">
      <w:pPr>
        <w:pStyle w:val="NoSpacing"/>
        <w:numPr>
          <w:ilvl w:val="0"/>
          <w:numId w:val="7"/>
        </w:numPr>
      </w:pPr>
      <w:r>
        <w:t xml:space="preserve">T: </w:t>
      </w:r>
      <w:r>
        <w:rPr>
          <w:rFonts w:cstheme="minorHAnsi"/>
        </w:rPr>
        <w:t>β</w:t>
      </w:r>
      <w:r>
        <w:t>-lactams | Trimethoprim-sulfamethoxazole | FQs</w:t>
      </w:r>
    </w:p>
    <w:p w:rsidR="00C70B8E" w:rsidRDefault="00C70B8E" w:rsidP="00C70B8E">
      <w:pPr>
        <w:pStyle w:val="NoSpacing"/>
        <w:numPr>
          <w:ilvl w:val="1"/>
          <w:numId w:val="7"/>
        </w:numPr>
      </w:pPr>
      <w:r>
        <w:t>Aminoglycosides in serious/complicated infections</w:t>
      </w:r>
    </w:p>
    <w:p w:rsidR="00FA2475" w:rsidRDefault="00C70B8E" w:rsidP="00FA2475">
      <w:pPr>
        <w:pStyle w:val="NoSpacing"/>
        <w:numPr>
          <w:ilvl w:val="1"/>
          <w:numId w:val="7"/>
        </w:numPr>
      </w:pPr>
      <w:r>
        <w:t>Cranberry juice only modestly works prophylactically</w:t>
      </w:r>
    </w:p>
    <w:p w:rsidR="00C70B8E" w:rsidRDefault="00C70B8E" w:rsidP="00943D93">
      <w:pPr>
        <w:pStyle w:val="NoSpacing"/>
      </w:pPr>
    </w:p>
    <w:p w:rsidR="00943D93" w:rsidRPr="00F33A22" w:rsidRDefault="00943D93" w:rsidP="00943D93">
      <w:pPr>
        <w:pStyle w:val="NoSpacing"/>
        <w:rPr>
          <w:b/>
        </w:rPr>
      </w:pPr>
      <w:r w:rsidRPr="00F33A22">
        <w:rPr>
          <w:b/>
        </w:rPr>
        <w:t>Klebsiella pneumonia</w:t>
      </w:r>
    </w:p>
    <w:p w:rsidR="00943D93" w:rsidRDefault="00943D93" w:rsidP="00943D93">
      <w:pPr>
        <w:pStyle w:val="NoSpacing"/>
        <w:numPr>
          <w:ilvl w:val="0"/>
          <w:numId w:val="8"/>
        </w:numPr>
      </w:pPr>
      <w:r>
        <w:t>Ubiquitous in environment | K1 serotype is particularly pathogenic</w:t>
      </w:r>
    </w:p>
    <w:p w:rsidR="00943D93" w:rsidRDefault="006E1EEC" w:rsidP="00943D93">
      <w:pPr>
        <w:pStyle w:val="NoSpacing"/>
        <w:numPr>
          <w:ilvl w:val="0"/>
          <w:numId w:val="8"/>
        </w:numPr>
      </w:pPr>
      <w:r>
        <w:t>Sym: Pneumonia | UTI | Wounds | Ocular/Neurological problems | STDs → granuloma inguinale</w:t>
      </w:r>
    </w:p>
    <w:p w:rsidR="00AA0A6C" w:rsidRDefault="00AA0A6C" w:rsidP="00AA0A6C">
      <w:pPr>
        <w:pStyle w:val="NoSpacing"/>
        <w:numPr>
          <w:ilvl w:val="1"/>
          <w:numId w:val="8"/>
        </w:numPr>
      </w:pPr>
      <w:r>
        <w:t>High mortality rate</w:t>
      </w:r>
    </w:p>
    <w:p w:rsidR="00A1373B" w:rsidRDefault="00A1373B" w:rsidP="00943D93">
      <w:pPr>
        <w:pStyle w:val="NoSpacing"/>
        <w:numPr>
          <w:ilvl w:val="0"/>
          <w:numId w:val="8"/>
        </w:numPr>
      </w:pPr>
      <w:r>
        <w:t>VF: Capsule (major) | LPS</w:t>
      </w:r>
    </w:p>
    <w:p w:rsidR="00A1373B" w:rsidRDefault="00A1373B" w:rsidP="00943D93">
      <w:pPr>
        <w:pStyle w:val="NoSpacing"/>
        <w:numPr>
          <w:ilvl w:val="0"/>
          <w:numId w:val="8"/>
        </w:numPr>
      </w:pPr>
      <w:r>
        <w:t>D: Symptoms | Postive chest X-ray (bronchopneumonia) | Positive blood + sputum cultures (non-motile)</w:t>
      </w:r>
    </w:p>
    <w:p w:rsidR="00AA0A6C" w:rsidRDefault="00AA0A6C" w:rsidP="00943D93">
      <w:pPr>
        <w:pStyle w:val="NoSpacing"/>
        <w:numPr>
          <w:ilvl w:val="0"/>
          <w:numId w:val="8"/>
        </w:numPr>
      </w:pPr>
      <w:r>
        <w:t xml:space="preserve">T: ES </w:t>
      </w:r>
      <w:r>
        <w:rPr>
          <w:rFonts w:cstheme="minorHAnsi"/>
        </w:rPr>
        <w:t>β</w:t>
      </w:r>
      <w:r>
        <w:t>-lactam | New cephalosporin w/ aminoglycosides (dependent on resistance pattern)</w:t>
      </w:r>
    </w:p>
    <w:p w:rsidR="00F418C0" w:rsidRDefault="00F418C0" w:rsidP="00F418C0">
      <w:pPr>
        <w:pStyle w:val="NoSpacing"/>
      </w:pPr>
    </w:p>
    <w:p w:rsidR="00F418C0" w:rsidRPr="00F33A22" w:rsidRDefault="00F418C0" w:rsidP="00F418C0">
      <w:pPr>
        <w:pStyle w:val="NoSpacing"/>
        <w:rPr>
          <w:b/>
        </w:rPr>
      </w:pPr>
      <w:r w:rsidRPr="00F33A22">
        <w:rPr>
          <w:b/>
        </w:rPr>
        <w:t>Yersinia pestis</w:t>
      </w:r>
    </w:p>
    <w:p w:rsidR="00F418C0" w:rsidRDefault="00E66A14" w:rsidP="00F418C0">
      <w:pPr>
        <w:pStyle w:val="NoSpacing"/>
        <w:numPr>
          <w:ilvl w:val="0"/>
          <w:numId w:val="9"/>
        </w:numPr>
      </w:pPr>
      <w:r>
        <w:t>V: Oriental rat flea (Xenopsylla cheopis)</w:t>
      </w:r>
    </w:p>
    <w:p w:rsidR="00E66A14" w:rsidRDefault="00E66A14" w:rsidP="00F418C0">
      <w:pPr>
        <w:pStyle w:val="NoSpacing"/>
        <w:numPr>
          <w:ilvl w:val="0"/>
          <w:numId w:val="9"/>
        </w:numPr>
      </w:pPr>
      <w:r>
        <w:t>Sym: Buboes (swollen lymph nodes) | Necrosis (2</w:t>
      </w:r>
      <w:r w:rsidRPr="00E66A14">
        <w:rPr>
          <w:vertAlign w:val="superscript"/>
        </w:rPr>
        <w:t>nd</w:t>
      </w:r>
      <w:r>
        <w:t xml:space="preserve"> to DIC)</w:t>
      </w:r>
    </w:p>
    <w:p w:rsidR="005D5AEA" w:rsidRDefault="005D5AEA" w:rsidP="005D5AEA">
      <w:pPr>
        <w:pStyle w:val="NoSpacing"/>
        <w:numPr>
          <w:ilvl w:val="1"/>
          <w:numId w:val="9"/>
        </w:numPr>
      </w:pPr>
      <w:r>
        <w:t>High mortality</w:t>
      </w:r>
    </w:p>
    <w:p w:rsidR="00E66A14" w:rsidRDefault="00E66A14" w:rsidP="00E66A14">
      <w:pPr>
        <w:pStyle w:val="NoSpacing"/>
        <w:numPr>
          <w:ilvl w:val="0"/>
          <w:numId w:val="9"/>
        </w:numPr>
      </w:pPr>
      <w:r>
        <w:t>Pathophysiology</w:t>
      </w:r>
    </w:p>
    <w:p w:rsidR="00E66A14" w:rsidRDefault="00E66A14" w:rsidP="00E66A14">
      <w:pPr>
        <w:pStyle w:val="NoSpacing"/>
        <w:numPr>
          <w:ilvl w:val="0"/>
          <w:numId w:val="10"/>
        </w:numPr>
        <w:ind w:left="1440"/>
      </w:pPr>
      <w:r>
        <w:t>1</w:t>
      </w:r>
      <w:r w:rsidRPr="00E66A14">
        <w:rPr>
          <w:vertAlign w:val="superscript"/>
        </w:rPr>
        <w:t>st</w:t>
      </w:r>
      <w:r>
        <w:t xml:space="preserve"> 36 hours → Rapid bacterial replication w/o huge inflammation response</w:t>
      </w:r>
    </w:p>
    <w:p w:rsidR="00FA2475" w:rsidRDefault="00FA2475" w:rsidP="00FA2475">
      <w:pPr>
        <w:pStyle w:val="NoSpacing"/>
        <w:numPr>
          <w:ilvl w:val="1"/>
          <w:numId w:val="10"/>
        </w:numPr>
        <w:ind w:left="2250"/>
      </w:pPr>
      <w:r>
        <w:t>Occurs via a dominant, local anti-inflammatory state eraly in lung infection</w:t>
      </w:r>
    </w:p>
    <w:p w:rsidR="00FA2475" w:rsidRDefault="00FA2475" w:rsidP="00FA2475">
      <w:pPr>
        <w:pStyle w:val="NoSpacing"/>
        <w:numPr>
          <w:ilvl w:val="0"/>
          <w:numId w:val="10"/>
        </w:numPr>
        <w:ind w:left="1440"/>
      </w:pPr>
      <w:r>
        <w:t>Immune system fully activates, but too late to control infection</w:t>
      </w:r>
    </w:p>
    <w:p w:rsidR="000E2A19" w:rsidRDefault="00FA2475" w:rsidP="000E2A19">
      <w:pPr>
        <w:pStyle w:val="NoSpacing"/>
        <w:numPr>
          <w:ilvl w:val="0"/>
          <w:numId w:val="10"/>
        </w:numPr>
        <w:ind w:left="1440"/>
      </w:pPr>
      <w:r>
        <w:t>High-level bacteremia ensures transmission back to flea without killing host</w:t>
      </w:r>
    </w:p>
    <w:p w:rsidR="000E2A19" w:rsidRDefault="000E2A19" w:rsidP="000E2A19">
      <w:pPr>
        <w:pStyle w:val="NoSpacing"/>
        <w:numPr>
          <w:ilvl w:val="1"/>
          <w:numId w:val="12"/>
        </w:numPr>
      </w:pPr>
      <w:r>
        <w:t>Doesn’t follow trade-off hypothesis</w:t>
      </w:r>
    </w:p>
    <w:p w:rsidR="000E2A19" w:rsidRDefault="00EC7004" w:rsidP="000E2A19">
      <w:pPr>
        <w:pStyle w:val="NoSpacing"/>
        <w:numPr>
          <w:ilvl w:val="0"/>
          <w:numId w:val="12"/>
        </w:numPr>
      </w:pPr>
      <w:r>
        <w:t>VF: Lipid A – inhibits TLR 4 activation | Antiphagocytic protein capsule (F1) – unique b/c made of protein</w:t>
      </w:r>
    </w:p>
    <w:p w:rsidR="005D5AEA" w:rsidRDefault="005D5AEA" w:rsidP="000E2A19">
      <w:pPr>
        <w:pStyle w:val="NoSpacing"/>
        <w:numPr>
          <w:ilvl w:val="0"/>
          <w:numId w:val="12"/>
        </w:numPr>
      </w:pPr>
      <w:r>
        <w:t>Diagnosis</w:t>
      </w:r>
    </w:p>
    <w:p w:rsidR="005D5AEA" w:rsidRDefault="005D5AEA" w:rsidP="005D5AEA">
      <w:pPr>
        <w:pStyle w:val="NoSpacing"/>
        <w:numPr>
          <w:ilvl w:val="1"/>
          <w:numId w:val="12"/>
        </w:numPr>
      </w:pPr>
      <w:r>
        <w:t>Utilize non-motility at all temperatures as determining factor</w:t>
      </w:r>
    </w:p>
    <w:p w:rsidR="005D5AEA" w:rsidRDefault="005D5AEA" w:rsidP="005D5AEA">
      <w:pPr>
        <w:pStyle w:val="NoSpacing"/>
        <w:numPr>
          <w:ilvl w:val="1"/>
          <w:numId w:val="12"/>
        </w:numPr>
      </w:pPr>
      <w:r>
        <w:t>PCR-based tests</w:t>
      </w:r>
    </w:p>
    <w:p w:rsidR="005D5AEA" w:rsidRDefault="005D5AEA" w:rsidP="005D5AEA">
      <w:pPr>
        <w:pStyle w:val="NoSpacing"/>
        <w:numPr>
          <w:ilvl w:val="1"/>
          <w:numId w:val="12"/>
        </w:numPr>
      </w:pPr>
      <w:r>
        <w:t>Wright stains (only stains granules on bacterium ends)</w:t>
      </w:r>
    </w:p>
    <w:p w:rsidR="005D5AEA" w:rsidRDefault="005D5AEA" w:rsidP="005D5AEA">
      <w:pPr>
        <w:pStyle w:val="NoSpacing"/>
        <w:numPr>
          <w:ilvl w:val="1"/>
          <w:numId w:val="12"/>
        </w:numPr>
      </w:pPr>
      <w:r>
        <w:t>Direct fluorescent Ab assay for F1 glycoprotein</w:t>
      </w:r>
    </w:p>
    <w:p w:rsidR="005D5AEA" w:rsidRDefault="005D5AEA" w:rsidP="005D5AEA">
      <w:pPr>
        <w:pStyle w:val="NoSpacing"/>
        <w:numPr>
          <w:ilvl w:val="0"/>
          <w:numId w:val="12"/>
        </w:numPr>
      </w:pPr>
      <w:r>
        <w:t xml:space="preserve">T: Streptomycin | </w:t>
      </w:r>
      <w:r w:rsidR="001C4E9D">
        <w:t>Doxycycline</w:t>
      </w:r>
      <w:r>
        <w:t xml:space="preserve"> for prophylaxis</w:t>
      </w:r>
    </w:p>
    <w:p w:rsidR="005D5AEA" w:rsidRDefault="005D5AEA" w:rsidP="005D5AEA">
      <w:pPr>
        <w:pStyle w:val="NoSpacing"/>
      </w:pPr>
    </w:p>
    <w:sectPr w:rsidR="005D5AEA" w:rsidSect="004315AF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7B1" w:rsidRDefault="007317B1" w:rsidP="006A1D93">
      <w:pPr>
        <w:spacing w:after="0" w:line="240" w:lineRule="auto"/>
      </w:pPr>
      <w:r>
        <w:separator/>
      </w:r>
    </w:p>
  </w:endnote>
  <w:endnote w:type="continuationSeparator" w:id="0">
    <w:p w:rsidR="007317B1" w:rsidRDefault="007317B1" w:rsidP="006A1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5216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35AA" w:rsidRDefault="005835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7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35AA" w:rsidRDefault="005835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7B1" w:rsidRDefault="007317B1" w:rsidP="006A1D93">
      <w:pPr>
        <w:spacing w:after="0" w:line="240" w:lineRule="auto"/>
      </w:pPr>
      <w:r>
        <w:separator/>
      </w:r>
    </w:p>
  </w:footnote>
  <w:footnote w:type="continuationSeparator" w:id="0">
    <w:p w:rsidR="007317B1" w:rsidRDefault="007317B1" w:rsidP="006A1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D93" w:rsidRDefault="006A1D93" w:rsidP="006A1D93">
    <w:pPr>
      <w:pStyle w:val="Header"/>
      <w:jc w:val="right"/>
    </w:pPr>
    <w:r>
      <w:t>Nischal Raya</w:t>
    </w:r>
  </w:p>
  <w:p w:rsidR="006A1D93" w:rsidRDefault="006A1D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8pt;height:11.8pt" o:bullet="t">
        <v:imagedata r:id="rId1" o:title="msoED3E"/>
      </v:shape>
    </w:pict>
  </w:numPicBullet>
  <w:abstractNum w:abstractNumId="0">
    <w:nsid w:val="068430B4"/>
    <w:multiLevelType w:val="hybridMultilevel"/>
    <w:tmpl w:val="3B327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638F9"/>
    <w:multiLevelType w:val="hybridMultilevel"/>
    <w:tmpl w:val="EB908A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A5628"/>
    <w:multiLevelType w:val="hybridMultilevel"/>
    <w:tmpl w:val="F6D4D38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9236F"/>
    <w:multiLevelType w:val="hybridMultilevel"/>
    <w:tmpl w:val="48C622E8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1C022D"/>
    <w:multiLevelType w:val="hybridMultilevel"/>
    <w:tmpl w:val="591018A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EC5DBC"/>
    <w:multiLevelType w:val="hybridMultilevel"/>
    <w:tmpl w:val="9B86CBD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F3A31"/>
    <w:multiLevelType w:val="hybridMultilevel"/>
    <w:tmpl w:val="72A0C5D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FD7894"/>
    <w:multiLevelType w:val="hybridMultilevel"/>
    <w:tmpl w:val="32008B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6D4C32"/>
    <w:multiLevelType w:val="hybridMultilevel"/>
    <w:tmpl w:val="4D0C281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865EC"/>
    <w:multiLevelType w:val="hybridMultilevel"/>
    <w:tmpl w:val="F830E65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9AA781F"/>
    <w:multiLevelType w:val="hybridMultilevel"/>
    <w:tmpl w:val="375C34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A466A2"/>
    <w:multiLevelType w:val="hybridMultilevel"/>
    <w:tmpl w:val="F03CB29C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1"/>
  </w:num>
  <w:num w:numId="5">
    <w:abstractNumId w:val="4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AF"/>
    <w:rsid w:val="000E2A19"/>
    <w:rsid w:val="000E5349"/>
    <w:rsid w:val="00131230"/>
    <w:rsid w:val="00144CEC"/>
    <w:rsid w:val="001C4E9D"/>
    <w:rsid w:val="004315AF"/>
    <w:rsid w:val="004D365B"/>
    <w:rsid w:val="005835AA"/>
    <w:rsid w:val="005C7CB4"/>
    <w:rsid w:val="005D5AEA"/>
    <w:rsid w:val="00695024"/>
    <w:rsid w:val="006A1D93"/>
    <w:rsid w:val="006B0F14"/>
    <w:rsid w:val="006E1EEC"/>
    <w:rsid w:val="007317B1"/>
    <w:rsid w:val="008A6C88"/>
    <w:rsid w:val="00943D93"/>
    <w:rsid w:val="009778D9"/>
    <w:rsid w:val="00A06CAD"/>
    <w:rsid w:val="00A1373B"/>
    <w:rsid w:val="00A47BB9"/>
    <w:rsid w:val="00AA0A6C"/>
    <w:rsid w:val="00AD1838"/>
    <w:rsid w:val="00B30BCE"/>
    <w:rsid w:val="00BB1CA9"/>
    <w:rsid w:val="00C70B8E"/>
    <w:rsid w:val="00CC4682"/>
    <w:rsid w:val="00DF400D"/>
    <w:rsid w:val="00E66A14"/>
    <w:rsid w:val="00E80389"/>
    <w:rsid w:val="00EC7004"/>
    <w:rsid w:val="00EF697B"/>
    <w:rsid w:val="00F20DA6"/>
    <w:rsid w:val="00F33A22"/>
    <w:rsid w:val="00F418C0"/>
    <w:rsid w:val="00FA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18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B0F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1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D93"/>
  </w:style>
  <w:style w:type="paragraph" w:styleId="Footer">
    <w:name w:val="footer"/>
    <w:basedOn w:val="Normal"/>
    <w:link w:val="FooterChar"/>
    <w:uiPriority w:val="99"/>
    <w:unhideWhenUsed/>
    <w:rsid w:val="006A1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D93"/>
  </w:style>
  <w:style w:type="paragraph" w:styleId="BalloonText">
    <w:name w:val="Balloon Text"/>
    <w:basedOn w:val="Normal"/>
    <w:link w:val="BalloonTextChar"/>
    <w:uiPriority w:val="99"/>
    <w:semiHidden/>
    <w:unhideWhenUsed/>
    <w:rsid w:val="006A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18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B0F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1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D93"/>
  </w:style>
  <w:style w:type="paragraph" w:styleId="Footer">
    <w:name w:val="footer"/>
    <w:basedOn w:val="Normal"/>
    <w:link w:val="FooterChar"/>
    <w:uiPriority w:val="99"/>
    <w:unhideWhenUsed/>
    <w:rsid w:val="006A1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D93"/>
  </w:style>
  <w:style w:type="paragraph" w:styleId="BalloonText">
    <w:name w:val="Balloon Text"/>
    <w:basedOn w:val="Normal"/>
    <w:link w:val="BalloonTextChar"/>
    <w:uiPriority w:val="99"/>
    <w:semiHidden/>
    <w:unhideWhenUsed/>
    <w:rsid w:val="006A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0B"/>
    <w:rsid w:val="0054570B"/>
    <w:rsid w:val="00A7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78548C06FC4DAEBA5A67F87D52640A">
    <w:name w:val="0378548C06FC4DAEBA5A67F87D52640A"/>
    <w:rsid w:val="0054570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78548C06FC4DAEBA5A67F87D52640A">
    <w:name w:val="0378548C06FC4DAEBA5A67F87D52640A"/>
    <w:rsid w:val="005457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 Raya</dc:creator>
  <cp:lastModifiedBy>Nischal</cp:lastModifiedBy>
  <cp:revision>35</cp:revision>
  <dcterms:created xsi:type="dcterms:W3CDTF">2012-09-21T00:36:00Z</dcterms:created>
  <dcterms:modified xsi:type="dcterms:W3CDTF">2012-09-21T14:56:00Z</dcterms:modified>
</cp:coreProperties>
</file>